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866" w:rsidRDefault="0057701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21B0B83C" wp14:editId="1398909E">
            <wp:simplePos x="0" y="0"/>
            <wp:positionH relativeFrom="column">
              <wp:posOffset>-381000</wp:posOffset>
            </wp:positionH>
            <wp:positionV relativeFrom="paragraph">
              <wp:posOffset>-312772</wp:posOffset>
            </wp:positionV>
            <wp:extent cx="1615440" cy="958567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12colo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835" cy="962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63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6BAFA0" wp14:editId="5C3D4CE3">
                <wp:simplePos x="0" y="0"/>
                <wp:positionH relativeFrom="column">
                  <wp:posOffset>3558540</wp:posOffset>
                </wp:positionH>
                <wp:positionV relativeFrom="paragraph">
                  <wp:posOffset>-137160</wp:posOffset>
                </wp:positionV>
                <wp:extent cx="2811780" cy="739140"/>
                <wp:effectExtent l="0" t="0" r="762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CD5" w:rsidRPr="00985CD5" w:rsidRDefault="00985CD5" w:rsidP="00985C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85CD5">
                              <w:rPr>
                                <w:b/>
                                <w:sz w:val="20"/>
                                <w:szCs w:val="20"/>
                              </w:rPr>
                              <w:t>Principal Preparation and Certification Program</w:t>
                            </w:r>
                          </w:p>
                          <w:p w:rsidR="00985CD5" w:rsidRPr="00985CD5" w:rsidRDefault="00985CD5" w:rsidP="00985CD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5CD5">
                              <w:rPr>
                                <w:sz w:val="20"/>
                                <w:szCs w:val="20"/>
                              </w:rPr>
                              <w:t>Education Service Center Region 12</w:t>
                            </w:r>
                          </w:p>
                          <w:p w:rsidR="00985CD5" w:rsidRPr="00985CD5" w:rsidRDefault="00985CD5" w:rsidP="00985CD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5CD5">
                              <w:rPr>
                                <w:sz w:val="20"/>
                                <w:szCs w:val="20"/>
                              </w:rPr>
                              <w:t>PO Box 23409          Waco, TX 76702</w:t>
                            </w:r>
                          </w:p>
                          <w:p w:rsidR="00985CD5" w:rsidRPr="00985CD5" w:rsidRDefault="00985CD5" w:rsidP="00985CD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85CD5">
                              <w:rPr>
                                <w:sz w:val="20"/>
                                <w:szCs w:val="20"/>
                              </w:rPr>
                              <w:t>254.297.1212 phone          254.666.0823 fax</w:t>
                            </w:r>
                          </w:p>
                          <w:p w:rsidR="00985CD5" w:rsidRPr="00985CD5" w:rsidRDefault="00985CD5" w:rsidP="00985CD5">
                            <w:pPr>
                              <w:spacing w:before="240"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BAF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2pt;margin-top:-10.8pt;width:221.4pt;height:5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CWgQ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" stroked="f">
                <v:textbox>
                  <w:txbxContent>
                    <w:p w:rsidR="00985CD5" w:rsidRPr="00985CD5" w:rsidRDefault="00985CD5" w:rsidP="00985CD5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85CD5">
                        <w:rPr>
                          <w:b/>
                          <w:sz w:val="20"/>
                          <w:szCs w:val="20"/>
                        </w:rPr>
                        <w:t>Principal Preparation and Certification Program</w:t>
                      </w:r>
                    </w:p>
                    <w:p w:rsidR="00985CD5" w:rsidRPr="00985CD5" w:rsidRDefault="00985CD5" w:rsidP="00985CD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85CD5">
                        <w:rPr>
                          <w:sz w:val="20"/>
                          <w:szCs w:val="20"/>
                        </w:rPr>
                        <w:t>Education Service Center Region 12</w:t>
                      </w:r>
                    </w:p>
                    <w:p w:rsidR="00985CD5" w:rsidRPr="00985CD5" w:rsidRDefault="00985CD5" w:rsidP="00985CD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85CD5">
                        <w:rPr>
                          <w:sz w:val="20"/>
                          <w:szCs w:val="20"/>
                        </w:rPr>
                        <w:t>PO Box 23409          Waco, TX 76702</w:t>
                      </w:r>
                    </w:p>
                    <w:p w:rsidR="00985CD5" w:rsidRPr="00985CD5" w:rsidRDefault="00985CD5" w:rsidP="00985CD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85CD5">
                        <w:rPr>
                          <w:sz w:val="20"/>
                          <w:szCs w:val="20"/>
                        </w:rPr>
                        <w:t>254.297.1212 phone          254.666.0823 fax</w:t>
                      </w:r>
                    </w:p>
                    <w:p w:rsidR="00985CD5" w:rsidRPr="00985CD5" w:rsidRDefault="00985CD5" w:rsidP="00985CD5">
                      <w:pPr>
                        <w:spacing w:before="240"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18BA" w:rsidRDefault="007F182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31F7D" wp14:editId="7F9BE296">
                <wp:simplePos x="0" y="0"/>
                <wp:positionH relativeFrom="column">
                  <wp:posOffset>-314325</wp:posOffset>
                </wp:positionH>
                <wp:positionV relativeFrom="paragraph">
                  <wp:posOffset>284480</wp:posOffset>
                </wp:positionV>
                <wp:extent cx="6543675" cy="0"/>
                <wp:effectExtent l="0" t="0" r="28575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795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.75pt;margin-top:22.4pt;width:51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oauHgIAADw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" strokeweight="1.5pt"/>
            </w:pict>
          </mc:Fallback>
        </mc:AlternateContent>
      </w:r>
    </w:p>
    <w:p w:rsidR="00F07634" w:rsidRPr="00F07634" w:rsidRDefault="00F07634" w:rsidP="00F07634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3018BA" w:rsidRPr="004C5439" w:rsidRDefault="00A87FC5" w:rsidP="00F0763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5439">
        <w:rPr>
          <w:rFonts w:ascii="Times New Roman" w:hAnsi="Times New Roman" w:cs="Times New Roman"/>
          <w:b/>
          <w:sz w:val="32"/>
          <w:szCs w:val="32"/>
        </w:rPr>
        <w:t xml:space="preserve">Standard Fees </w:t>
      </w:r>
      <w:r w:rsidR="00F83293" w:rsidRPr="004C5439">
        <w:rPr>
          <w:rFonts w:ascii="Times New Roman" w:hAnsi="Times New Roman" w:cs="Times New Roman"/>
          <w:b/>
          <w:sz w:val="32"/>
          <w:szCs w:val="32"/>
        </w:rPr>
        <w:t>201</w:t>
      </w:r>
      <w:r w:rsidR="00CC4FEC">
        <w:rPr>
          <w:rFonts w:ascii="Times New Roman" w:hAnsi="Times New Roman" w:cs="Times New Roman"/>
          <w:b/>
          <w:sz w:val="32"/>
          <w:szCs w:val="32"/>
        </w:rPr>
        <w:t>9-2020</w:t>
      </w:r>
      <w:r w:rsidRPr="004C5439">
        <w:rPr>
          <w:rFonts w:ascii="Times New Roman" w:hAnsi="Times New Roman" w:cs="Times New Roman"/>
          <w:b/>
          <w:sz w:val="32"/>
          <w:szCs w:val="32"/>
        </w:rPr>
        <w:t xml:space="preserve"> Cohort</w:t>
      </w:r>
    </w:p>
    <w:tbl>
      <w:tblPr>
        <w:tblStyle w:val="TableGrid"/>
        <w:tblW w:w="9630" w:type="dxa"/>
        <w:tblInd w:w="-185" w:type="dxa"/>
        <w:tblLook w:val="04A0" w:firstRow="1" w:lastRow="0" w:firstColumn="1" w:lastColumn="0" w:noHBand="0" w:noVBand="1"/>
      </w:tblPr>
      <w:tblGrid>
        <w:gridCol w:w="6930"/>
        <w:gridCol w:w="2700"/>
      </w:tblGrid>
      <w:tr w:rsidR="004C5439" w:rsidTr="001308B8">
        <w:trPr>
          <w:trHeight w:val="252"/>
        </w:trPr>
        <w:tc>
          <w:tcPr>
            <w:tcW w:w="6930" w:type="dxa"/>
            <w:vAlign w:val="center"/>
          </w:tcPr>
          <w:p w:rsidR="004C5439" w:rsidRPr="004C5439" w:rsidRDefault="004C5439" w:rsidP="00AF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9">
              <w:rPr>
                <w:rFonts w:ascii="Times New Roman" w:hAnsi="Times New Roman" w:cs="Times New Roman"/>
                <w:sz w:val="24"/>
                <w:szCs w:val="24"/>
              </w:rPr>
              <w:t>ESC Region 12 PPCP Program Tuition</w:t>
            </w:r>
          </w:p>
        </w:tc>
        <w:tc>
          <w:tcPr>
            <w:tcW w:w="2700" w:type="dxa"/>
            <w:vAlign w:val="center"/>
          </w:tcPr>
          <w:p w:rsidR="004C5439" w:rsidRPr="004C5439" w:rsidRDefault="007B7EA9" w:rsidP="001308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$6,100</w:t>
            </w:r>
            <w:r w:rsidR="004C543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C5439" w:rsidTr="001308B8">
        <w:trPr>
          <w:trHeight w:val="252"/>
        </w:trPr>
        <w:tc>
          <w:tcPr>
            <w:tcW w:w="6930" w:type="dxa"/>
            <w:vAlign w:val="center"/>
          </w:tcPr>
          <w:p w:rsidR="004C5439" w:rsidRPr="004C5439" w:rsidRDefault="004C5439" w:rsidP="0013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Fee</w:t>
            </w:r>
          </w:p>
        </w:tc>
        <w:tc>
          <w:tcPr>
            <w:tcW w:w="2700" w:type="dxa"/>
            <w:vAlign w:val="center"/>
          </w:tcPr>
          <w:p w:rsidR="004C5439" w:rsidRPr="004C5439" w:rsidRDefault="004C5439" w:rsidP="001308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5439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75.00</w:t>
            </w:r>
          </w:p>
        </w:tc>
      </w:tr>
      <w:tr w:rsidR="007F1822" w:rsidTr="001308B8">
        <w:trPr>
          <w:trHeight w:val="252"/>
        </w:trPr>
        <w:tc>
          <w:tcPr>
            <w:tcW w:w="6930" w:type="dxa"/>
            <w:vAlign w:val="center"/>
          </w:tcPr>
          <w:p w:rsidR="007F1822" w:rsidRDefault="00CC4FEC" w:rsidP="00D8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Enrollment Fee</w:t>
            </w:r>
          </w:p>
        </w:tc>
        <w:tc>
          <w:tcPr>
            <w:tcW w:w="2700" w:type="dxa"/>
            <w:vAlign w:val="center"/>
          </w:tcPr>
          <w:p w:rsidR="007F1822" w:rsidRPr="004C5439" w:rsidRDefault="00CC4FEC" w:rsidP="001308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$1,000.00</w:t>
            </w:r>
          </w:p>
        </w:tc>
      </w:tr>
      <w:tr w:rsidR="00CC4FEC" w:rsidTr="001308B8">
        <w:trPr>
          <w:trHeight w:val="252"/>
        </w:trPr>
        <w:tc>
          <w:tcPr>
            <w:tcW w:w="6930" w:type="dxa"/>
            <w:vAlign w:val="center"/>
          </w:tcPr>
          <w:p w:rsidR="00CC4FEC" w:rsidRPr="004C5439" w:rsidRDefault="00CC4FEC" w:rsidP="00CC4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1CB">
              <w:rPr>
                <w:rFonts w:ascii="Times New Roman" w:hAnsi="Times New Roman" w:cs="Times New Roman"/>
                <w:sz w:val="24"/>
                <w:szCs w:val="24"/>
              </w:rPr>
              <w:t xml:space="preserve">Employment Outside ESC Region 12 Boundaries </w:t>
            </w:r>
            <w:r w:rsidR="007563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A1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Practicum</w:t>
            </w:r>
          </w:p>
        </w:tc>
        <w:tc>
          <w:tcPr>
            <w:tcW w:w="2700" w:type="dxa"/>
            <w:vAlign w:val="center"/>
          </w:tcPr>
          <w:p w:rsidR="00CC4FEC" w:rsidRDefault="00CC4FEC" w:rsidP="00CC4F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$750.00</w:t>
            </w:r>
          </w:p>
        </w:tc>
      </w:tr>
      <w:tr w:rsidR="00CC4FEC" w:rsidTr="00B71BAF">
        <w:trPr>
          <w:trHeight w:val="252"/>
        </w:trPr>
        <w:tc>
          <w:tcPr>
            <w:tcW w:w="9630" w:type="dxa"/>
            <w:gridSpan w:val="2"/>
            <w:vAlign w:val="center"/>
          </w:tcPr>
          <w:p w:rsidR="00CC4FEC" w:rsidRPr="000A11CB" w:rsidRDefault="00CC4FEC" w:rsidP="00CC4FEC">
            <w:pPr>
              <w:widowControl w:val="0"/>
              <w:tabs>
                <w:tab w:val="left" w:pos="720"/>
                <w:tab w:val="decimal" w:pos="810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Technology fee - $35, T-TESS - $525, and AEL - $525 are included</w:t>
            </w:r>
          </w:p>
        </w:tc>
      </w:tr>
    </w:tbl>
    <w:p w:rsidR="000A11CB" w:rsidRPr="0087326E" w:rsidRDefault="000A11CB" w:rsidP="000A11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6B0" w:rsidRDefault="000A11CB" w:rsidP="000A11CB">
      <w:pPr>
        <w:rPr>
          <w:rFonts w:ascii="Times New Roman" w:hAnsi="Times New Roman" w:cs="Times New Roman"/>
          <w:b/>
          <w:sz w:val="28"/>
          <w:szCs w:val="28"/>
        </w:rPr>
      </w:pPr>
      <w:r w:rsidRPr="00283789">
        <w:rPr>
          <w:rFonts w:ascii="Times New Roman" w:hAnsi="Times New Roman" w:cs="Times New Roman"/>
          <w:b/>
          <w:sz w:val="28"/>
          <w:szCs w:val="28"/>
        </w:rPr>
        <w:t>Payment Options</w:t>
      </w:r>
      <w:r w:rsidR="00283789">
        <w:rPr>
          <w:rFonts w:ascii="Times New Roman" w:hAnsi="Times New Roman" w:cs="Times New Roman"/>
          <w:b/>
          <w:sz w:val="28"/>
          <w:szCs w:val="28"/>
        </w:rPr>
        <w:t xml:space="preserve"> Available:</w:t>
      </w:r>
    </w:p>
    <w:p w:rsidR="00283789" w:rsidRPr="00283789" w:rsidRDefault="00283789" w:rsidP="002172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789">
        <w:rPr>
          <w:rFonts w:ascii="Times New Roman" w:hAnsi="Times New Roman" w:cs="Times New Roman"/>
          <w:b/>
          <w:sz w:val="24"/>
          <w:szCs w:val="24"/>
          <w:u w:val="single"/>
        </w:rPr>
        <w:t>Option 1:</w:t>
      </w:r>
    </w:p>
    <w:p w:rsidR="00E53B57" w:rsidRPr="00E53B57" w:rsidRDefault="00283789" w:rsidP="0021721F">
      <w:pPr>
        <w:pStyle w:val="ListParagraph"/>
        <w:numPr>
          <w:ilvl w:val="0"/>
          <w:numId w:val="4"/>
        </w:numPr>
        <w:tabs>
          <w:tab w:val="num" w:pos="990"/>
        </w:tabs>
        <w:spacing w:after="0" w:line="240" w:lineRule="auto"/>
        <w:rPr>
          <w:rFonts w:ascii="Times New Roman" w:hAnsi="Times New Roman"/>
          <w:szCs w:val="24"/>
        </w:rPr>
      </w:pPr>
      <w:r w:rsidRPr="00B95A02">
        <w:rPr>
          <w:rFonts w:ascii="Times New Roman" w:hAnsi="Times New Roman"/>
          <w:sz w:val="24"/>
          <w:szCs w:val="24"/>
        </w:rPr>
        <w:t xml:space="preserve">Payment in </w:t>
      </w:r>
      <w:r w:rsidR="0099160B">
        <w:rPr>
          <w:rFonts w:ascii="Times New Roman" w:hAnsi="Times New Roman"/>
          <w:sz w:val="24"/>
          <w:szCs w:val="24"/>
        </w:rPr>
        <w:t>F</w:t>
      </w:r>
      <w:r w:rsidRPr="00B95A02">
        <w:rPr>
          <w:rFonts w:ascii="Times New Roman" w:hAnsi="Times New Roman"/>
          <w:sz w:val="24"/>
          <w:szCs w:val="24"/>
        </w:rPr>
        <w:t>ull</w:t>
      </w:r>
      <w:r w:rsidR="0099160B">
        <w:rPr>
          <w:rFonts w:ascii="Times New Roman" w:hAnsi="Times New Roman"/>
          <w:sz w:val="24"/>
          <w:szCs w:val="24"/>
        </w:rPr>
        <w:t>:</w:t>
      </w:r>
      <w:r w:rsidRPr="00B95A02">
        <w:rPr>
          <w:rFonts w:ascii="Times New Roman" w:hAnsi="Times New Roman"/>
          <w:sz w:val="24"/>
          <w:szCs w:val="24"/>
        </w:rPr>
        <w:t xml:space="preserve"> </w:t>
      </w:r>
    </w:p>
    <w:p w:rsidR="00283789" w:rsidRPr="00B95A02" w:rsidRDefault="007B7EA9" w:rsidP="0021721F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$6,100</w:t>
      </w:r>
      <w:r w:rsidR="00283789" w:rsidRPr="00B95A02">
        <w:rPr>
          <w:rFonts w:ascii="Times New Roman" w:hAnsi="Times New Roman"/>
          <w:sz w:val="24"/>
          <w:szCs w:val="24"/>
        </w:rPr>
        <w:t xml:space="preserve"> </w:t>
      </w:r>
      <w:r w:rsidR="00283789" w:rsidRPr="00E74833">
        <w:rPr>
          <w:rFonts w:ascii="Times New Roman" w:hAnsi="Times New Roman"/>
          <w:b/>
          <w:i/>
          <w:sz w:val="24"/>
          <w:szCs w:val="24"/>
        </w:rPr>
        <w:t>less</w:t>
      </w:r>
      <w:r>
        <w:rPr>
          <w:rFonts w:ascii="Times New Roman" w:hAnsi="Times New Roman"/>
          <w:sz w:val="24"/>
          <w:szCs w:val="24"/>
        </w:rPr>
        <w:t xml:space="preserve"> $500 discount = $5,</w:t>
      </w:r>
      <w:r w:rsidR="00D82104">
        <w:rPr>
          <w:rFonts w:ascii="Times New Roman" w:hAnsi="Times New Roman"/>
          <w:sz w:val="24"/>
          <w:szCs w:val="24"/>
        </w:rPr>
        <w:t>600</w:t>
      </w:r>
      <w:r w:rsidR="0099160B">
        <w:rPr>
          <w:rFonts w:ascii="Times New Roman" w:hAnsi="Times New Roman"/>
          <w:sz w:val="24"/>
          <w:szCs w:val="24"/>
        </w:rPr>
        <w:t xml:space="preserve"> due </w:t>
      </w:r>
      <w:r w:rsidR="00BD0384">
        <w:rPr>
          <w:rFonts w:ascii="Times New Roman" w:hAnsi="Times New Roman"/>
          <w:sz w:val="24"/>
          <w:szCs w:val="24"/>
        </w:rPr>
        <w:t>at/before</w:t>
      </w:r>
      <w:r w:rsidR="0090057F">
        <w:rPr>
          <w:rFonts w:ascii="Times New Roman" w:hAnsi="Times New Roman"/>
          <w:sz w:val="24"/>
          <w:szCs w:val="24"/>
        </w:rPr>
        <w:t xml:space="preserve"> </w:t>
      </w:r>
      <w:r w:rsidR="00BD0384">
        <w:rPr>
          <w:rFonts w:ascii="Times New Roman" w:hAnsi="Times New Roman"/>
          <w:sz w:val="24"/>
          <w:szCs w:val="24"/>
        </w:rPr>
        <w:t xml:space="preserve">Orientation </w:t>
      </w:r>
    </w:p>
    <w:p w:rsidR="00283789" w:rsidRDefault="00283789" w:rsidP="0021721F">
      <w:pPr>
        <w:tabs>
          <w:tab w:val="num" w:pos="99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83789">
        <w:rPr>
          <w:rFonts w:ascii="Times New Roman" w:hAnsi="Times New Roman"/>
          <w:b/>
          <w:sz w:val="24"/>
          <w:szCs w:val="24"/>
          <w:u w:val="single"/>
        </w:rPr>
        <w:t>Option 2:</w:t>
      </w:r>
    </w:p>
    <w:p w:rsidR="00283789" w:rsidRDefault="00283789" w:rsidP="0021721F">
      <w:pPr>
        <w:pStyle w:val="ListParagraph"/>
        <w:numPr>
          <w:ilvl w:val="0"/>
          <w:numId w:val="4"/>
        </w:numPr>
        <w:tabs>
          <w:tab w:val="num" w:pos="9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83789">
        <w:rPr>
          <w:rFonts w:ascii="Times New Roman" w:hAnsi="Times New Roman"/>
          <w:sz w:val="24"/>
          <w:szCs w:val="24"/>
        </w:rPr>
        <w:t>Two Payments:</w:t>
      </w:r>
    </w:p>
    <w:p w:rsidR="009F21B7" w:rsidRDefault="00CC4FEC" w:rsidP="0021721F">
      <w:pPr>
        <w:pStyle w:val="ListParagraph"/>
        <w:numPr>
          <w:ilvl w:val="1"/>
          <w:numId w:val="4"/>
        </w:numPr>
        <w:tabs>
          <w:tab w:val="num" w:pos="9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$2,550 – due by November 1</w:t>
      </w:r>
    </w:p>
    <w:p w:rsidR="009F21B7" w:rsidRPr="00CC4FEC" w:rsidRDefault="00CC4FEC" w:rsidP="00CC4FEC">
      <w:pPr>
        <w:pStyle w:val="ListParagraph"/>
        <w:numPr>
          <w:ilvl w:val="1"/>
          <w:numId w:val="4"/>
        </w:numPr>
        <w:tabs>
          <w:tab w:val="num" w:pos="9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$2,550 – due by February 1</w:t>
      </w:r>
    </w:p>
    <w:p w:rsidR="009F21B7" w:rsidRDefault="009F21B7" w:rsidP="0021721F">
      <w:pPr>
        <w:tabs>
          <w:tab w:val="num" w:pos="99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F21B7">
        <w:rPr>
          <w:rFonts w:ascii="Times New Roman" w:hAnsi="Times New Roman"/>
          <w:b/>
          <w:sz w:val="24"/>
          <w:szCs w:val="24"/>
          <w:u w:val="single"/>
        </w:rPr>
        <w:t>Option 3:</w:t>
      </w:r>
    </w:p>
    <w:p w:rsidR="00283789" w:rsidRPr="0099160B" w:rsidRDefault="00CC4FEC" w:rsidP="0021721F">
      <w:pPr>
        <w:pStyle w:val="ListParagraph"/>
        <w:numPr>
          <w:ilvl w:val="0"/>
          <w:numId w:val="4"/>
        </w:numPr>
        <w:tabs>
          <w:tab w:val="num" w:pos="9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</w:t>
      </w:r>
      <w:r w:rsidR="009F21B7" w:rsidRPr="0099160B">
        <w:rPr>
          <w:rFonts w:ascii="Times New Roman" w:hAnsi="Times New Roman"/>
          <w:sz w:val="24"/>
          <w:szCs w:val="24"/>
        </w:rPr>
        <w:t>Monthly Payments</w:t>
      </w:r>
      <w:r>
        <w:rPr>
          <w:rFonts w:ascii="Times New Roman" w:hAnsi="Times New Roman"/>
          <w:sz w:val="24"/>
          <w:szCs w:val="24"/>
        </w:rPr>
        <w:t xml:space="preserve"> of $637.50 beginning November 1 – June 1</w:t>
      </w:r>
      <w:r w:rsidR="007563E2">
        <w:rPr>
          <w:rFonts w:ascii="Times New Roman" w:hAnsi="Times New Roman"/>
          <w:sz w:val="24"/>
          <w:szCs w:val="24"/>
        </w:rPr>
        <w:t>:</w:t>
      </w:r>
    </w:p>
    <w:p w:rsidR="00E84C2F" w:rsidRDefault="00CC4FEC" w:rsidP="0021721F">
      <w:pPr>
        <w:pStyle w:val="ListParagraph"/>
        <w:numPr>
          <w:ilvl w:val="1"/>
          <w:numId w:val="4"/>
        </w:numPr>
        <w:tabs>
          <w:tab w:val="num" w:pos="9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$5,100 + $40 processing fee = $5140</w:t>
      </w:r>
    </w:p>
    <w:p w:rsidR="009F21B7" w:rsidRDefault="00CC4FEC" w:rsidP="0021721F">
      <w:pPr>
        <w:pStyle w:val="ListParagraph"/>
        <w:numPr>
          <w:ilvl w:val="1"/>
          <w:numId w:val="4"/>
        </w:numPr>
        <w:tabs>
          <w:tab w:val="num" w:pos="9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$5140 </w:t>
      </w:r>
      <w:r>
        <w:rPr>
          <w:rFonts w:ascii="Times New Roman" w:hAnsi="Times New Roman" w:cs="Times New Roman"/>
          <w:sz w:val="24"/>
          <w:szCs w:val="24"/>
        </w:rPr>
        <w:t>÷</w:t>
      </w:r>
      <w:r>
        <w:rPr>
          <w:rFonts w:ascii="Times New Roman" w:hAnsi="Times New Roman"/>
          <w:sz w:val="24"/>
          <w:szCs w:val="24"/>
        </w:rPr>
        <w:t xml:space="preserve"> 8 months = $637.50</w:t>
      </w:r>
    </w:p>
    <w:p w:rsidR="00E84C2F" w:rsidRDefault="00E84C2F" w:rsidP="0021721F">
      <w:pPr>
        <w:tabs>
          <w:tab w:val="num" w:pos="9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84C2F">
        <w:rPr>
          <w:rFonts w:ascii="Times New Roman" w:hAnsi="Times New Roman"/>
          <w:b/>
          <w:sz w:val="24"/>
          <w:szCs w:val="24"/>
          <w:u w:val="single"/>
        </w:rPr>
        <w:t>Option 4:</w:t>
      </w:r>
    </w:p>
    <w:p w:rsidR="007563E2" w:rsidRDefault="00CC4FEC" w:rsidP="007563E2">
      <w:pPr>
        <w:pStyle w:val="ListParagraph"/>
        <w:numPr>
          <w:ilvl w:val="0"/>
          <w:numId w:val="4"/>
        </w:numPr>
        <w:tabs>
          <w:tab w:val="num" w:pos="9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Funds Pending – Funds are provided from an </w:t>
      </w:r>
      <w:r w:rsidRPr="00CC4FEC">
        <w:rPr>
          <w:rFonts w:ascii="Times New Roman" w:hAnsi="Times New Roman"/>
          <w:sz w:val="24"/>
          <w:szCs w:val="24"/>
          <w:u w:val="single"/>
        </w:rPr>
        <w:t>approved outside source</w:t>
      </w:r>
      <w:r>
        <w:rPr>
          <w:rFonts w:ascii="Times New Roman" w:hAnsi="Times New Roman"/>
          <w:sz w:val="24"/>
          <w:szCs w:val="24"/>
        </w:rPr>
        <w:t xml:space="preserve"> </w:t>
      </w:r>
      <w:r w:rsidR="00F14BE2">
        <w:rPr>
          <w:rFonts w:ascii="Times New Roman" w:hAnsi="Times New Roman"/>
          <w:sz w:val="24"/>
          <w:szCs w:val="24"/>
        </w:rPr>
        <w:t>[The Military Spouse Career Advancement Accounts Program (</w:t>
      </w:r>
      <w:proofErr w:type="spellStart"/>
      <w:r w:rsidR="00F14BE2">
        <w:rPr>
          <w:rFonts w:ascii="Times New Roman" w:hAnsi="Times New Roman"/>
          <w:sz w:val="24"/>
          <w:szCs w:val="24"/>
        </w:rPr>
        <w:t>MyCAA</w:t>
      </w:r>
      <w:proofErr w:type="spellEnd"/>
      <w:r w:rsidR="00F14BE2">
        <w:rPr>
          <w:rFonts w:ascii="Times New Roman" w:hAnsi="Times New Roman"/>
          <w:sz w:val="24"/>
          <w:szCs w:val="24"/>
        </w:rPr>
        <w:t>), Texas Rehabilitation Commission, or a personal loan institution.]</w:t>
      </w:r>
      <w:r w:rsidR="007563E2" w:rsidRPr="007563E2">
        <w:rPr>
          <w:rFonts w:ascii="Times New Roman" w:hAnsi="Times New Roman"/>
          <w:sz w:val="24"/>
          <w:szCs w:val="24"/>
        </w:rPr>
        <w:br/>
      </w:r>
    </w:p>
    <w:p w:rsidR="007563E2" w:rsidRDefault="00F14BE2" w:rsidP="007563E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14BE2">
        <w:rPr>
          <w:rFonts w:ascii="Times New Roman" w:hAnsi="Times New Roman"/>
          <w:sz w:val="24"/>
          <w:szCs w:val="24"/>
        </w:rPr>
        <w:tab/>
      </w:r>
      <w:r w:rsidR="007563E2">
        <w:rPr>
          <w:rFonts w:ascii="Times New Roman" w:hAnsi="Times New Roman"/>
          <w:sz w:val="24"/>
          <w:szCs w:val="24"/>
          <w:u w:val="single"/>
        </w:rPr>
        <w:t>Documentation from the provider must be presented at Registration.</w:t>
      </w:r>
    </w:p>
    <w:p w:rsidR="007563E2" w:rsidRDefault="007563E2" w:rsidP="007563E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563E2" w:rsidRDefault="00F14BE2" w:rsidP="007563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563E2">
        <w:rPr>
          <w:rFonts w:ascii="Times New Roman" w:hAnsi="Times New Roman"/>
          <w:sz w:val="24"/>
          <w:szCs w:val="24"/>
        </w:rPr>
        <w:t>Funds must be received by Region 12 consistent with the two payment schedule:</w:t>
      </w:r>
    </w:p>
    <w:p w:rsidR="007563E2" w:rsidRPr="007563E2" w:rsidRDefault="007563E2" w:rsidP="007563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4FEC" w:rsidRDefault="00CC4FEC" w:rsidP="00CC4FEC">
      <w:pPr>
        <w:pStyle w:val="ListParagraph"/>
        <w:numPr>
          <w:ilvl w:val="1"/>
          <w:numId w:val="4"/>
        </w:numPr>
        <w:tabs>
          <w:tab w:val="num" w:pos="9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$2,550 – due by November 1</w:t>
      </w:r>
    </w:p>
    <w:p w:rsidR="00CC4FEC" w:rsidRPr="00CC4FEC" w:rsidRDefault="00CC4FEC" w:rsidP="00CC4FEC">
      <w:pPr>
        <w:pStyle w:val="ListParagraph"/>
        <w:numPr>
          <w:ilvl w:val="1"/>
          <w:numId w:val="4"/>
        </w:numPr>
        <w:tabs>
          <w:tab w:val="num" w:pos="9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$2,550 – due by February 1</w:t>
      </w:r>
    </w:p>
    <w:p w:rsidR="00E84C2F" w:rsidRDefault="00E84C2F" w:rsidP="00CC4FEC">
      <w:pPr>
        <w:pStyle w:val="ListParagraph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:rsidR="00F25EA7" w:rsidRPr="00F25EA7" w:rsidRDefault="00F25EA7" w:rsidP="0021721F">
      <w:pPr>
        <w:pStyle w:val="ListParagraph"/>
        <w:numPr>
          <w:ilvl w:val="0"/>
          <w:numId w:val="4"/>
        </w:numPr>
        <w:spacing w:line="240" w:lineRule="auto"/>
        <w:ind w:right="-270"/>
        <w:rPr>
          <w:rFonts w:ascii="Times New Roman" w:hAnsi="Times New Roman"/>
          <w:sz w:val="24"/>
          <w:szCs w:val="24"/>
        </w:rPr>
      </w:pPr>
      <w:r w:rsidRPr="00F25EA7">
        <w:rPr>
          <w:rFonts w:ascii="Times New Roman" w:hAnsi="Times New Roman"/>
          <w:sz w:val="24"/>
          <w:szCs w:val="24"/>
        </w:rPr>
        <w:t xml:space="preserve">The enrollment fee of $1,000 (non-refundable) is due </w:t>
      </w:r>
      <w:r w:rsidR="00BD0384">
        <w:rPr>
          <w:rFonts w:ascii="Times New Roman" w:hAnsi="Times New Roman"/>
          <w:sz w:val="24"/>
          <w:szCs w:val="24"/>
        </w:rPr>
        <w:t>at/before Orientation</w:t>
      </w:r>
      <w:r w:rsidR="00D576B2">
        <w:rPr>
          <w:rFonts w:ascii="Times New Roman" w:hAnsi="Times New Roman"/>
          <w:sz w:val="24"/>
          <w:szCs w:val="24"/>
        </w:rPr>
        <w:t xml:space="preserve"> and t</w:t>
      </w:r>
      <w:r w:rsidRPr="00F25EA7">
        <w:rPr>
          <w:rFonts w:ascii="Times New Roman" w:hAnsi="Times New Roman"/>
          <w:sz w:val="24"/>
          <w:szCs w:val="24"/>
        </w:rPr>
        <w:t>imely</w:t>
      </w:r>
      <w:r w:rsidR="00D576B2">
        <w:rPr>
          <w:rFonts w:ascii="Times New Roman" w:hAnsi="Times New Roman"/>
          <w:sz w:val="24"/>
          <w:szCs w:val="24"/>
        </w:rPr>
        <w:t xml:space="preserve"> payments</w:t>
      </w:r>
      <w:r w:rsidRPr="00F25EA7">
        <w:rPr>
          <w:rFonts w:ascii="Times New Roman" w:hAnsi="Times New Roman"/>
          <w:sz w:val="24"/>
          <w:szCs w:val="24"/>
        </w:rPr>
        <w:t xml:space="preserve"> </w:t>
      </w:r>
      <w:r w:rsidR="00D576B2" w:rsidRPr="00F25EA7">
        <w:rPr>
          <w:rFonts w:ascii="Times New Roman" w:hAnsi="Times New Roman"/>
          <w:sz w:val="24"/>
          <w:szCs w:val="24"/>
        </w:rPr>
        <w:t>to</w:t>
      </w:r>
      <w:r w:rsidRPr="00F25EA7">
        <w:rPr>
          <w:rFonts w:ascii="Times New Roman" w:hAnsi="Times New Roman"/>
          <w:sz w:val="24"/>
          <w:szCs w:val="24"/>
        </w:rPr>
        <w:t xml:space="preserve"> ESC Region 12 are required until the full amount is received from the funding source. Reimbursement of any tuition overpayments will be issued as applicable.    </w:t>
      </w:r>
    </w:p>
    <w:p w:rsidR="00B95A02" w:rsidRDefault="00B95A02" w:rsidP="00D9253D">
      <w:pPr>
        <w:tabs>
          <w:tab w:val="num" w:pos="990"/>
        </w:tabs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D9253D">
        <w:rPr>
          <w:rFonts w:ascii="Times New Roman" w:hAnsi="Times New Roman"/>
          <w:b/>
          <w:sz w:val="24"/>
          <w:szCs w:val="24"/>
        </w:rPr>
        <w:t>Candidates m</w:t>
      </w:r>
      <w:r w:rsidR="001308B8" w:rsidRPr="00D9253D">
        <w:rPr>
          <w:rFonts w:ascii="Times New Roman" w:hAnsi="Times New Roman"/>
          <w:b/>
          <w:sz w:val="24"/>
          <w:szCs w:val="24"/>
        </w:rPr>
        <w:t>ust remain current with payments to progress and complete program.</w:t>
      </w:r>
      <w:r w:rsidR="00A1346B">
        <w:rPr>
          <w:rFonts w:ascii="Times New Roman" w:hAnsi="Times New Roman"/>
          <w:b/>
          <w:sz w:val="24"/>
          <w:szCs w:val="24"/>
        </w:rPr>
        <w:t xml:space="preserve"> </w:t>
      </w:r>
    </w:p>
    <w:p w:rsidR="00A1346B" w:rsidRDefault="00A1346B" w:rsidP="00D9253D">
      <w:pPr>
        <w:tabs>
          <w:tab w:val="num" w:pos="990"/>
        </w:tabs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will not be recommended for certification until all fees are paid in full.</w:t>
      </w:r>
    </w:p>
    <w:p w:rsidR="00D9253D" w:rsidRDefault="0090057F" w:rsidP="0090057F">
      <w:pPr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Payments by c</w:t>
      </w:r>
      <w:r w:rsidR="0021721F">
        <w:rPr>
          <w:rFonts w:ascii="Times New Roman" w:hAnsi="Times New Roman" w:cs="Times New Roman"/>
          <w:sz w:val="24"/>
          <w:szCs w:val="24"/>
        </w:rPr>
        <w:t xml:space="preserve">redit card </w:t>
      </w:r>
      <w:r w:rsidR="007563E2">
        <w:rPr>
          <w:rFonts w:ascii="Times New Roman" w:hAnsi="Times New Roman" w:cs="Times New Roman"/>
          <w:sz w:val="24"/>
          <w:szCs w:val="24"/>
        </w:rPr>
        <w:t>can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21F">
        <w:rPr>
          <w:rFonts w:ascii="Times New Roman" w:hAnsi="Times New Roman" w:cs="Times New Roman"/>
          <w:sz w:val="24"/>
          <w:szCs w:val="24"/>
        </w:rPr>
        <w:t>made</w:t>
      </w:r>
      <w:r w:rsidR="007563E2">
        <w:rPr>
          <w:rFonts w:ascii="Times New Roman" w:hAnsi="Times New Roman" w:cs="Times New Roman"/>
          <w:sz w:val="24"/>
          <w:szCs w:val="24"/>
        </w:rPr>
        <w:t xml:space="preserve"> </w:t>
      </w:r>
      <w:r w:rsidR="0021721F">
        <w:rPr>
          <w:rFonts w:ascii="Times New Roman" w:hAnsi="Times New Roman" w:cs="Times New Roman"/>
          <w:sz w:val="24"/>
          <w:szCs w:val="24"/>
        </w:rPr>
        <w:t>in person at</w:t>
      </w:r>
      <w:r w:rsidR="00B95A02" w:rsidRPr="00B95A02">
        <w:rPr>
          <w:rFonts w:ascii="Times New Roman" w:hAnsi="Times New Roman" w:cs="Times New Roman"/>
          <w:sz w:val="24"/>
          <w:szCs w:val="24"/>
        </w:rPr>
        <w:t xml:space="preserve"> the ESC Region 12 Business Office</w:t>
      </w:r>
      <w:r w:rsidR="0021721F">
        <w:rPr>
          <w:rFonts w:ascii="Times New Roman" w:hAnsi="Times New Roman" w:cs="Times New Roman"/>
          <w:sz w:val="24"/>
          <w:szCs w:val="24"/>
        </w:rPr>
        <w:t>. Checks and money orders payable to ESC Region 12, PO Box 23409</w:t>
      </w:r>
      <w:r w:rsidR="00BF7461">
        <w:rPr>
          <w:rFonts w:ascii="Times New Roman" w:hAnsi="Times New Roman" w:cs="Times New Roman"/>
          <w:sz w:val="24"/>
          <w:szCs w:val="24"/>
        </w:rPr>
        <w:t xml:space="preserve">, Waco, TX  76702. For </w:t>
      </w:r>
      <w:r w:rsidR="00E25DEF">
        <w:rPr>
          <w:rFonts w:ascii="Times New Roman" w:hAnsi="Times New Roman" w:cs="Times New Roman"/>
          <w:sz w:val="24"/>
          <w:szCs w:val="24"/>
        </w:rPr>
        <w:t>additional payment</w:t>
      </w:r>
      <w:r w:rsidR="00BF7461">
        <w:rPr>
          <w:rFonts w:ascii="Times New Roman" w:hAnsi="Times New Roman" w:cs="Times New Roman"/>
          <w:sz w:val="24"/>
          <w:szCs w:val="24"/>
        </w:rPr>
        <w:t xml:space="preserve"> details, call 254-297-1177 or 254-297-1245 during regular business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="00BF7461">
        <w:rPr>
          <w:rFonts w:ascii="Times New Roman" w:hAnsi="Times New Roman" w:cs="Times New Roman"/>
          <w:sz w:val="24"/>
          <w:szCs w:val="24"/>
        </w:rPr>
        <w:t>ours.</w:t>
      </w:r>
      <w:r w:rsidR="00217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461" w:rsidRPr="00BF7461" w:rsidRDefault="00BF7461" w:rsidP="00BF74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F7461" w:rsidRPr="00BF7461" w:rsidSect="00B95A02">
      <w:footerReference w:type="default" r:id="rId8"/>
      <w:pgSz w:w="12240" w:h="15840" w:code="1"/>
      <w:pgMar w:top="720" w:right="1440" w:bottom="72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7A2" w:rsidRDefault="006017A2" w:rsidP="007A61DE">
      <w:pPr>
        <w:spacing w:after="0" w:line="240" w:lineRule="auto"/>
      </w:pPr>
      <w:r>
        <w:separator/>
      </w:r>
    </w:p>
  </w:endnote>
  <w:endnote w:type="continuationSeparator" w:id="0">
    <w:p w:rsidR="006017A2" w:rsidRDefault="006017A2" w:rsidP="007A6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1DE" w:rsidRPr="007A61DE" w:rsidRDefault="00B95A02" w:rsidP="007A61DE">
    <w:pPr>
      <w:pStyle w:val="Footer"/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2-1</w:t>
    </w:r>
    <w:r w:rsidR="00D82104">
      <w:rPr>
        <w:rFonts w:ascii="Times New Roman" w:hAnsi="Times New Roman" w:cs="Times New Roman"/>
        <w:i/>
        <w:sz w:val="18"/>
        <w:szCs w:val="18"/>
      </w:rPr>
      <w:t>8</w:t>
    </w:r>
    <w:r>
      <w:rPr>
        <w:rFonts w:ascii="Times New Roman" w:hAnsi="Times New Roman" w:cs="Times New Roman"/>
        <w:i/>
        <w:sz w:val="18"/>
        <w:szCs w:val="18"/>
      </w:rPr>
      <w:t>/SCL</w:t>
    </w:r>
    <w:r w:rsidR="00AF4C02">
      <w:rPr>
        <w:rFonts w:ascii="Times New Roman" w:hAnsi="Times New Roman" w:cs="Times New Roman"/>
        <w:i/>
        <w:sz w:val="18"/>
        <w:szCs w:val="18"/>
      </w:rPr>
      <w:t>/</w:t>
    </w:r>
    <w:r w:rsidR="0002706D">
      <w:rPr>
        <w:rFonts w:ascii="Times New Roman" w:hAnsi="Times New Roman" w:cs="Times New Roman"/>
        <w:i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7A2" w:rsidRDefault="006017A2" w:rsidP="007A61DE">
      <w:pPr>
        <w:spacing w:after="0" w:line="240" w:lineRule="auto"/>
      </w:pPr>
      <w:r>
        <w:separator/>
      </w:r>
    </w:p>
  </w:footnote>
  <w:footnote w:type="continuationSeparator" w:id="0">
    <w:p w:rsidR="006017A2" w:rsidRDefault="006017A2" w:rsidP="007A6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03D0"/>
    <w:multiLevelType w:val="hybridMultilevel"/>
    <w:tmpl w:val="E28EF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61E2F"/>
    <w:multiLevelType w:val="hybridMultilevel"/>
    <w:tmpl w:val="56266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D0E9A"/>
    <w:multiLevelType w:val="hybridMultilevel"/>
    <w:tmpl w:val="7B8047D8"/>
    <w:lvl w:ilvl="0" w:tplc="D02484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BB08B40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2"/>
        <w:szCs w:val="32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721B4AC7"/>
    <w:multiLevelType w:val="hybridMultilevel"/>
    <w:tmpl w:val="C7B4CDF4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1MDM0NbYwM7Y0NzFW0lEKTi0uzszPAykwrAUAn9kFxiwAAAA="/>
  </w:docVars>
  <w:rsids>
    <w:rsidRoot w:val="00985CD5"/>
    <w:rsid w:val="00022413"/>
    <w:rsid w:val="0002706D"/>
    <w:rsid w:val="000A11CB"/>
    <w:rsid w:val="000E371F"/>
    <w:rsid w:val="001308B8"/>
    <w:rsid w:val="00163123"/>
    <w:rsid w:val="00196762"/>
    <w:rsid w:val="001A4DCE"/>
    <w:rsid w:val="00214687"/>
    <w:rsid w:val="0021721F"/>
    <w:rsid w:val="00267799"/>
    <w:rsid w:val="002755DD"/>
    <w:rsid w:val="00283789"/>
    <w:rsid w:val="002D7405"/>
    <w:rsid w:val="003018BA"/>
    <w:rsid w:val="003342BA"/>
    <w:rsid w:val="0034701B"/>
    <w:rsid w:val="00356E1E"/>
    <w:rsid w:val="00387869"/>
    <w:rsid w:val="003B1340"/>
    <w:rsid w:val="003C3B84"/>
    <w:rsid w:val="003C7FE4"/>
    <w:rsid w:val="00402A06"/>
    <w:rsid w:val="00436FFA"/>
    <w:rsid w:val="00482284"/>
    <w:rsid w:val="004B3DE0"/>
    <w:rsid w:val="004B7B13"/>
    <w:rsid w:val="004C5439"/>
    <w:rsid w:val="004F6469"/>
    <w:rsid w:val="00561197"/>
    <w:rsid w:val="0057701D"/>
    <w:rsid w:val="005C2B4E"/>
    <w:rsid w:val="005D7204"/>
    <w:rsid w:val="005E7B7B"/>
    <w:rsid w:val="006017A2"/>
    <w:rsid w:val="00604761"/>
    <w:rsid w:val="006647FE"/>
    <w:rsid w:val="00671ADE"/>
    <w:rsid w:val="00755DAC"/>
    <w:rsid w:val="007563E2"/>
    <w:rsid w:val="00757F26"/>
    <w:rsid w:val="00775FFC"/>
    <w:rsid w:val="007953FC"/>
    <w:rsid w:val="007A61DE"/>
    <w:rsid w:val="007B7EA9"/>
    <w:rsid w:val="007D2A82"/>
    <w:rsid w:val="007F1822"/>
    <w:rsid w:val="007F1EB2"/>
    <w:rsid w:val="00802654"/>
    <w:rsid w:val="00827458"/>
    <w:rsid w:val="0083572A"/>
    <w:rsid w:val="00840112"/>
    <w:rsid w:val="008531C6"/>
    <w:rsid w:val="0087326E"/>
    <w:rsid w:val="00873D75"/>
    <w:rsid w:val="00891929"/>
    <w:rsid w:val="008B29BF"/>
    <w:rsid w:val="008B574B"/>
    <w:rsid w:val="008B7F08"/>
    <w:rsid w:val="0090057F"/>
    <w:rsid w:val="00944888"/>
    <w:rsid w:val="00985CD5"/>
    <w:rsid w:val="009867D8"/>
    <w:rsid w:val="0099160B"/>
    <w:rsid w:val="009C3AFA"/>
    <w:rsid w:val="009D1F1F"/>
    <w:rsid w:val="009F21B7"/>
    <w:rsid w:val="00A1346B"/>
    <w:rsid w:val="00A2478C"/>
    <w:rsid w:val="00A53CA6"/>
    <w:rsid w:val="00A87FC5"/>
    <w:rsid w:val="00A9737D"/>
    <w:rsid w:val="00AC407F"/>
    <w:rsid w:val="00AC4D18"/>
    <w:rsid w:val="00AF4C02"/>
    <w:rsid w:val="00AF7866"/>
    <w:rsid w:val="00B21E91"/>
    <w:rsid w:val="00B25ABE"/>
    <w:rsid w:val="00B95A02"/>
    <w:rsid w:val="00BD0384"/>
    <w:rsid w:val="00BF7461"/>
    <w:rsid w:val="00C04CB6"/>
    <w:rsid w:val="00C15483"/>
    <w:rsid w:val="00C46775"/>
    <w:rsid w:val="00C50CA9"/>
    <w:rsid w:val="00CA66B0"/>
    <w:rsid w:val="00CB3015"/>
    <w:rsid w:val="00CC4FEC"/>
    <w:rsid w:val="00D3784B"/>
    <w:rsid w:val="00D520E0"/>
    <w:rsid w:val="00D576B2"/>
    <w:rsid w:val="00D82104"/>
    <w:rsid w:val="00D9253D"/>
    <w:rsid w:val="00E25DEF"/>
    <w:rsid w:val="00E46B9A"/>
    <w:rsid w:val="00E53B57"/>
    <w:rsid w:val="00E6378E"/>
    <w:rsid w:val="00E71BE3"/>
    <w:rsid w:val="00E74833"/>
    <w:rsid w:val="00E84C2F"/>
    <w:rsid w:val="00E865C6"/>
    <w:rsid w:val="00E9710D"/>
    <w:rsid w:val="00ED21E8"/>
    <w:rsid w:val="00ED3744"/>
    <w:rsid w:val="00EF1C29"/>
    <w:rsid w:val="00F07634"/>
    <w:rsid w:val="00F14BE2"/>
    <w:rsid w:val="00F201E9"/>
    <w:rsid w:val="00F23D3D"/>
    <w:rsid w:val="00F25EA7"/>
    <w:rsid w:val="00F64C8B"/>
    <w:rsid w:val="00F83293"/>
    <w:rsid w:val="00FC23A7"/>
    <w:rsid w:val="00FC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C8D779-7642-4CC2-A413-1C9820F2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C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0C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1DE"/>
  </w:style>
  <w:style w:type="paragraph" w:styleId="Footer">
    <w:name w:val="footer"/>
    <w:basedOn w:val="Normal"/>
    <w:link w:val="FooterChar"/>
    <w:uiPriority w:val="99"/>
    <w:unhideWhenUsed/>
    <w:rsid w:val="007A6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1DE"/>
  </w:style>
  <w:style w:type="table" w:styleId="TableGrid">
    <w:name w:val="Table Grid"/>
    <w:basedOn w:val="TableNormal"/>
    <w:uiPriority w:val="59"/>
    <w:rsid w:val="006647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A66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11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12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Clugston</dc:creator>
  <cp:lastModifiedBy>Julie Posey</cp:lastModifiedBy>
  <cp:revision>2</cp:revision>
  <cp:lastPrinted>2019-10-22T15:29:00Z</cp:lastPrinted>
  <dcterms:created xsi:type="dcterms:W3CDTF">2019-10-25T19:42:00Z</dcterms:created>
  <dcterms:modified xsi:type="dcterms:W3CDTF">2019-10-25T19:42:00Z</dcterms:modified>
</cp:coreProperties>
</file>